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Bluebeard" w:hAnsi="Bluebeard" w:cs="Bluebeard"/>
          <w:color w:val="000000"/>
          <w:sz w:val="30"/>
          <w:szCs w:val="30"/>
        </w:rPr>
      </w:pPr>
      <w:r>
        <w:rPr>
          <w:rFonts w:ascii="Bluebeard" w:hAnsi="Bluebeard" w:cs="Bluebeard"/>
          <w:color w:val="000000"/>
          <w:sz w:val="30"/>
          <w:szCs w:val="30"/>
        </w:rPr>
        <w:t>Théurgie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r>
        <w:rPr>
          <w:rFonts w:ascii="SkolarLatinPro-Semibold" w:hAnsi="SkolarLatinPro-Semibold" w:cs="SkolarLatinPro-Semibold"/>
          <w:color w:val="000000"/>
          <w:sz w:val="18"/>
          <w:szCs w:val="18"/>
        </w:rPr>
        <w:t xml:space="preserve">De nos jours, </w:t>
      </w:r>
      <w:r>
        <w:rPr>
          <w:rFonts w:ascii="SkolarLatinPro-Regular" w:hAnsi="SkolarLatinPro-Regular" w:cs="SkolarLatinPro-Regular"/>
          <w:color w:val="000000"/>
          <w:sz w:val="18"/>
          <w:szCs w:val="18"/>
        </w:rPr>
        <w:t>la théurgie représente les enseignements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du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pouvoir mystique qui émane du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soleil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et rayonne au </w:t>
      </w:r>
      <w:proofErr w:type="spell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coeur</w:t>
      </w:r>
      <w:proofErr w:type="spell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de l’esprit humain.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r>
        <w:rPr>
          <w:rFonts w:ascii="SkolarLatinPro-Regular" w:hAnsi="SkolarLatinPro-Regular" w:cs="SkolarLatinPro-Regular"/>
          <w:color w:val="000000"/>
          <w:sz w:val="18"/>
          <w:szCs w:val="18"/>
        </w:rPr>
        <w:t>Ses pouvoirs ne se rencontrent que chez les plus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fervents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adorateurs de la lumière : les champions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élus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de </w:t>
      </w:r>
      <w:proofErr w:type="spell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Prios</w:t>
      </w:r>
      <w:proofErr w:type="spellEnd"/>
      <w:r>
        <w:rPr>
          <w:rFonts w:ascii="SkolarLatinPro-Regular" w:hAnsi="SkolarLatinPro-Regular" w:cs="SkolarLatinPro-Regular"/>
          <w:color w:val="000000"/>
          <w:sz w:val="18"/>
          <w:szCs w:val="18"/>
        </w:rPr>
        <w:t>. Les théurges sont considérés comme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les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émissaires de </w:t>
      </w:r>
      <w:proofErr w:type="spell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Prios</w:t>
      </w:r>
      <w:proofErr w:type="spell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dans le monde des vivants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et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leur fardeau est bel et bien considérable. Ils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accompagnent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les fidèles dans leurs prières,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guidant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ainsi le soleil à travers les ténèbres des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abîmes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>, nuit après nuit. Leur dévotion empêche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la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lumière divine de s’éteindre, car sans leur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labeur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>, le Dieu-Soleil, déjà affaibli, mourrait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immanquablement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et le monde plongerait dans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la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Nuit éternelle.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r>
        <w:rPr>
          <w:rFonts w:ascii="SkolarLatinPro-Regular" w:hAnsi="SkolarLatinPro-Regular" w:cs="SkolarLatinPro-Regular"/>
          <w:color w:val="000000"/>
          <w:sz w:val="18"/>
          <w:szCs w:val="18"/>
        </w:rPr>
        <w:t>La théurgie est une ancienne tradition, développée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à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l’origine par les prêtres serviteurs des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r>
        <w:rPr>
          <w:rFonts w:ascii="SkolarLatinPro-Regular" w:hAnsi="SkolarLatinPro-Regular" w:cs="SkolarLatinPro-Regular"/>
          <w:color w:val="000000"/>
          <w:sz w:val="18"/>
          <w:szCs w:val="18"/>
        </w:rPr>
        <w:t>Anciens Dieux. Érudits et autres savants sont en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perpétuel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désaccord quant à savoir si la sorcellerie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est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plus ancienne que la théurgie ou si au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contraire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la théurgie a précédé toutes les autres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traditions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>. Quelle que soit la réponse, la théurgie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connaît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aujourd’hui son âge d’or. Depuis que </w:t>
      </w:r>
      <w:proofErr w:type="spell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Prios</w:t>
      </w:r>
      <w:proofErr w:type="spellEnd"/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s’est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assuré la foi et la dévotion de la plupart des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spell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Ambriens</w:t>
      </w:r>
      <w:proofErr w:type="spellEnd"/>
      <w:r>
        <w:rPr>
          <w:rFonts w:ascii="SkolarLatinPro-Regular" w:hAnsi="SkolarLatinPro-Regular" w:cs="SkolarLatinPro-Regular"/>
          <w:color w:val="000000"/>
          <w:sz w:val="18"/>
          <w:szCs w:val="18"/>
        </w:rPr>
        <w:t>, les porteurs de cette tradition prospèrent.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r>
        <w:rPr>
          <w:rFonts w:ascii="SkolarLatinPro-Regular" w:hAnsi="SkolarLatinPro-Regular" w:cs="SkolarLatinPro-Regular"/>
          <w:color w:val="000000"/>
          <w:sz w:val="18"/>
          <w:szCs w:val="18"/>
        </w:rPr>
        <w:t>Il leur importe peu de savoir quelles traditions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sont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les plus anciennes ou celle qui naquit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en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premier. L’adoration des lichens et la vénération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des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arbres demeurent indignes de l’esprit sacré des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humains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et la plupart des théurges considèrent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la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sorcellerie comme une voie qui ne peut mener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qu’à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la décadence et à la conjuration. Ils voient la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magie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— l’ordre mystique issu des fondements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de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l’ancienne théurgie — de la même façon : une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pratique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impie et moralement contestable.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Bold" w:hAnsi="SkolarLatinPro-Bold" w:cs="SkolarLatinPro-Bold"/>
          <w:b/>
          <w:bCs/>
          <w:color w:val="8D432E"/>
          <w:sz w:val="28"/>
          <w:szCs w:val="28"/>
        </w:rPr>
      </w:pPr>
      <w:r>
        <w:rPr>
          <w:rFonts w:ascii="SkolarLatinPro-Bold" w:hAnsi="SkolarLatinPro-Bold" w:cs="SkolarLatinPro-Bold"/>
          <w:b/>
          <w:bCs/>
          <w:color w:val="8D432E"/>
          <w:sz w:val="28"/>
          <w:szCs w:val="28"/>
        </w:rPr>
        <w:t>Hiérarchie théurgique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r>
        <w:rPr>
          <w:rFonts w:ascii="SkolarLatinPro-Regular" w:hAnsi="SkolarLatinPro-Regular" w:cs="SkolarLatinPro-Regular"/>
          <w:color w:val="000000"/>
          <w:sz w:val="18"/>
          <w:szCs w:val="18"/>
        </w:rPr>
        <w:t>La hiérarchie de la tradition théurgique est intimement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liée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à l’Église de </w:t>
      </w:r>
      <w:proofErr w:type="spell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Prios</w:t>
      </w:r>
      <w:proofErr w:type="spellEnd"/>
      <w:r>
        <w:rPr>
          <w:rFonts w:ascii="SkolarLatinPro-Regular" w:hAnsi="SkolarLatinPro-Regular" w:cs="SkolarLatinPro-Regular"/>
          <w:color w:val="000000"/>
          <w:sz w:val="18"/>
          <w:szCs w:val="18"/>
        </w:rPr>
        <w:t>, car les théurges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sont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les défenseurs de l’Église, choisis par </w:t>
      </w:r>
      <w:proofErr w:type="spell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Prios</w:t>
      </w:r>
      <w:proofErr w:type="spellEnd"/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lui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>-même. L’obéissance due aux aînés est à la fois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tenue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en haute estime et obligatoire ; les châtiments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en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cas de désobéissance sont sévères. Au bas de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l’échelle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se trouvent les Initiés, qui assistent et sont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instruits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par les Frères et </w:t>
      </w:r>
      <w:proofErr w:type="spell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Soeurs</w:t>
      </w:r>
      <w:proofErr w:type="spell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de l’Église, qui, à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leur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tour, officient sous l’autorité de théurges éclairés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nommés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Pères et Mères. Il existe également,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au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sein de l’organisation de l’Église du Soleil, des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prêtres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n’ayant pas reçu le don divin de la théurgie,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les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liturges.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Semibold" w:hAnsi="SkolarLatinPro-Semibold" w:cs="SkolarLatinPro-Semibold"/>
          <w:color w:val="8D432E"/>
          <w:sz w:val="28"/>
          <w:szCs w:val="28"/>
        </w:rPr>
      </w:pPr>
      <w:r>
        <w:rPr>
          <w:rFonts w:ascii="SkolarLatinPro-Semibold" w:hAnsi="SkolarLatinPro-Semibold" w:cs="SkolarLatinPro-Semibold"/>
          <w:color w:val="8D432E"/>
          <w:sz w:val="28"/>
          <w:szCs w:val="28"/>
        </w:rPr>
        <w:t>Pouvoirs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r>
        <w:rPr>
          <w:rFonts w:ascii="SkolarLatinPro-Regular" w:hAnsi="SkolarLatinPro-Regular" w:cs="SkolarLatinPro-Regular"/>
          <w:color w:val="000000"/>
          <w:sz w:val="18"/>
          <w:szCs w:val="18"/>
        </w:rPr>
        <w:t>Les bénédictions et malédictions de la théurgie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incluent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: </w:t>
      </w:r>
      <w:proofErr w:type="spellStart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Anatheme</w:t>
      </w:r>
      <w:proofErr w:type="spellEnd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, Bouclier sanctifie, Imposition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</w:pPr>
      <w:proofErr w:type="gramStart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des</w:t>
      </w:r>
      <w:proofErr w:type="gramEnd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 xml:space="preserve"> mains, Aura </w:t>
      </w:r>
      <w:proofErr w:type="spellStart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sacree</w:t>
      </w:r>
      <w:proofErr w:type="spellEnd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 xml:space="preserve">, Blessure </w:t>
      </w:r>
      <w:proofErr w:type="spellStart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partagee</w:t>
      </w:r>
      <w:proofErr w:type="spellEnd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 xml:space="preserve">, </w:t>
      </w:r>
      <w:proofErr w:type="spellStart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Levitation</w:t>
      </w:r>
      <w:proofErr w:type="spellEnd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,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</w:pPr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 xml:space="preserve">Verre ardent de </w:t>
      </w:r>
      <w:proofErr w:type="spellStart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Prios</w:t>
      </w:r>
      <w:proofErr w:type="spellEnd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 xml:space="preserve">, Forme </w:t>
      </w:r>
      <w:proofErr w:type="spellStart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revelee</w:t>
      </w:r>
      <w:proofErr w:type="spellEnd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, Imperceptible et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</w:pPr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 xml:space="preserve">Marteau a </w:t>
      </w:r>
      <w:proofErr w:type="spellStart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sorciere</w:t>
      </w:r>
      <w:proofErr w:type="spellEnd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.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</w:pPr>
      <w:bookmarkStart w:id="0" w:name="_GoBack"/>
      <w:bookmarkEnd w:id="0"/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Bold" w:hAnsi="SkolarLatinPro-Bold" w:cs="SkolarLatinPro-Bold"/>
          <w:b/>
          <w:bCs/>
          <w:color w:val="8D432E"/>
          <w:sz w:val="28"/>
          <w:szCs w:val="28"/>
        </w:rPr>
      </w:pPr>
      <w:r>
        <w:rPr>
          <w:rFonts w:ascii="SkolarLatinPro-Bold" w:hAnsi="SkolarLatinPro-Bold" w:cs="SkolarLatinPro-Bold"/>
          <w:b/>
          <w:bCs/>
          <w:color w:val="8D432E"/>
          <w:sz w:val="28"/>
          <w:szCs w:val="28"/>
        </w:rPr>
        <w:t>Rituels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r>
        <w:rPr>
          <w:rFonts w:ascii="SkolarLatinPro-Regular" w:hAnsi="SkolarLatinPro-Regular" w:cs="SkolarLatinPro-Regular"/>
          <w:color w:val="000000"/>
          <w:sz w:val="18"/>
          <w:szCs w:val="18"/>
        </w:rPr>
        <w:t>Les rituels théurgiques, souvent accomplis comme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lastRenderedPageBreak/>
        <w:t>des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cérémonies religieuses, sont </w:t>
      </w:r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Liens du jugement,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</w:pPr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 xml:space="preserve">Confession </w:t>
      </w:r>
      <w:proofErr w:type="spellStart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forcee</w:t>
      </w:r>
      <w:proofErr w:type="spellEnd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, Exorcisme, Oracle, Feu purificateur,</w:t>
      </w:r>
    </w:p>
    <w:p w:rsidR="003F49CE" w:rsidRDefault="003F49CE" w:rsidP="003F49CE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 xml:space="preserve">Saint patron, Rite de sanctification, </w:t>
      </w:r>
      <w:proofErr w:type="spellStart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Fumee</w:t>
      </w:r>
      <w:proofErr w:type="spellEnd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 xml:space="preserve"> </w:t>
      </w:r>
      <w:proofErr w:type="spellStart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revelatrice</w:t>
      </w:r>
      <w:proofErr w:type="spellEnd"/>
      <w:r>
        <w:rPr>
          <w:rFonts w:ascii="SkolarLatinPro-Regular" w:hAnsi="SkolarLatinPro-Regular" w:cs="SkolarLatinPro-Regular"/>
          <w:color w:val="000000"/>
          <w:sz w:val="18"/>
          <w:szCs w:val="18"/>
        </w:rPr>
        <w:t>,</w:t>
      </w:r>
    </w:p>
    <w:p w:rsidR="003A511E" w:rsidRDefault="003F49CE" w:rsidP="003F49CE"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Chasse a l</w:t>
      </w:r>
      <w:r>
        <w:rPr>
          <w:rFonts w:ascii="SkolarLatinPro-Italic" w:eastAsia="SkolarLatinPro-Italic" w:hAnsi="Bluebeard" w:cs="SkolarLatinPro-Italic" w:hint="eastAsia"/>
          <w:i/>
          <w:iCs/>
          <w:color w:val="000000"/>
          <w:sz w:val="18"/>
          <w:szCs w:val="18"/>
        </w:rPr>
        <w:t>’</w:t>
      </w:r>
      <w:proofErr w:type="spellStart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heretique</w:t>
      </w:r>
      <w:proofErr w:type="spellEnd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.</w:t>
      </w:r>
    </w:p>
    <w:sectPr w:rsidR="003A5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luebear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kolarLatinPro-Semi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kolarLatinPro-Regular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kolarLatinPro-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kolarLatinPro-Italic">
    <w:altName w:val="Yu Gothic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9CE"/>
    <w:rsid w:val="003A511E"/>
    <w:rsid w:val="003F49CE"/>
    <w:rsid w:val="00CD3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99D3F"/>
  <w15:chartTrackingRefBased/>
  <w15:docId w15:val="{B8B12078-8496-4DF6-9185-4D2F0173A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2387</Characters>
  <Application>Microsoft Office Word</Application>
  <DocSecurity>0</DocSecurity>
  <Lines>19</Lines>
  <Paragraphs>5</Paragraphs>
  <ScaleCrop>false</ScaleCrop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Laudon</dc:creator>
  <cp:keywords/>
  <dc:description/>
  <cp:lastModifiedBy>Christophe Laudon</cp:lastModifiedBy>
  <cp:revision>1</cp:revision>
  <dcterms:created xsi:type="dcterms:W3CDTF">2017-06-14T20:38:00Z</dcterms:created>
  <dcterms:modified xsi:type="dcterms:W3CDTF">2017-06-14T20:38:00Z</dcterms:modified>
</cp:coreProperties>
</file>